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B2" w:rsidRPr="00590E91" w:rsidRDefault="008902B2" w:rsidP="008902B2">
      <w:pPr>
        <w:jc w:val="center"/>
        <w:rPr>
          <w:b/>
        </w:rPr>
      </w:pPr>
      <w:r w:rsidRPr="00590E91">
        <w:rPr>
          <w:b/>
        </w:rPr>
        <w:t>ANEXO 2</w:t>
      </w:r>
    </w:p>
    <w:p w:rsidR="008902B2" w:rsidRPr="00590E91" w:rsidRDefault="008902B2" w:rsidP="008902B2">
      <w:pPr>
        <w:jc w:val="center"/>
        <w:rPr>
          <w:b/>
        </w:rPr>
      </w:pPr>
    </w:p>
    <w:p w:rsidR="008902B2" w:rsidRPr="00590E91" w:rsidRDefault="008902B2" w:rsidP="008902B2">
      <w:pPr>
        <w:pStyle w:val="Ttulo2"/>
        <w:numPr>
          <w:ilvl w:val="0"/>
          <w:numId w:val="0"/>
        </w:numPr>
        <w:jc w:val="center"/>
      </w:pPr>
      <w:bookmarkStart w:id="0" w:name="_Toc536005045"/>
      <w:bookmarkStart w:id="1" w:name="_Toc536005568"/>
      <w:bookmarkStart w:id="2" w:name="_Toc536007180"/>
      <w:bookmarkStart w:id="3" w:name="_Toc77022416"/>
      <w:bookmarkStart w:id="4" w:name="_GoBack"/>
      <w:r w:rsidRPr="00590E91">
        <w:t>INFORMACIóN DEL PROCEDIMIENTO DE ENVÍO DE LAS MUESTRAS</w:t>
      </w:r>
      <w:bookmarkEnd w:id="0"/>
      <w:bookmarkEnd w:id="1"/>
      <w:bookmarkEnd w:id="2"/>
      <w:r w:rsidRPr="00590E91">
        <w:t xml:space="preserve"> Y REALIZACIÓN DE ENSAYOS DE LABORATORIO</w:t>
      </w:r>
      <w:bookmarkEnd w:id="4"/>
      <w:r w:rsidRPr="00590E91">
        <w:rPr>
          <w:rStyle w:val="Refdenotaalpie"/>
        </w:rPr>
        <w:footnoteReference w:id="1"/>
      </w:r>
      <w:bookmarkEnd w:id="3"/>
    </w:p>
    <w:p w:rsidR="008902B2" w:rsidRPr="00590E91" w:rsidRDefault="008902B2" w:rsidP="008902B2"/>
    <w:p w:rsidR="008902B2" w:rsidRPr="00590E91" w:rsidRDefault="008902B2" w:rsidP="008902B2">
      <w:pPr>
        <w:numPr>
          <w:ilvl w:val="0"/>
          <w:numId w:val="5"/>
        </w:numPr>
      </w:pPr>
      <w:r w:rsidRPr="00590E91">
        <w:t xml:space="preserve">Dar la instrucción a la EDS para el envío de las muestras al laboratorio, el cual deberá cumplir con los requerimientos estipulados en el presente instructivo y que se encuentran señalados en el </w:t>
      </w:r>
      <w:r w:rsidRPr="00590E91">
        <w:rPr>
          <w:i/>
        </w:rPr>
        <w:t>anexo técnico</w:t>
      </w:r>
      <w:r w:rsidRPr="00590E91">
        <w:t xml:space="preserve"> del acta de visita.</w:t>
      </w:r>
    </w:p>
    <w:p w:rsidR="008902B2" w:rsidRPr="00590E91" w:rsidRDefault="008902B2" w:rsidP="008902B2">
      <w:pPr>
        <w:numPr>
          <w:ilvl w:val="0"/>
          <w:numId w:val="5"/>
        </w:numPr>
      </w:pPr>
      <w:r w:rsidRPr="00590E91">
        <w:t xml:space="preserve">La EDS deberá conservar dichas muestras hasta que éstas sean entregadas al laboratorio. </w:t>
      </w:r>
    </w:p>
    <w:p w:rsidR="008902B2" w:rsidRPr="00590E91" w:rsidRDefault="008902B2" w:rsidP="008902B2">
      <w:pPr>
        <w:numPr>
          <w:ilvl w:val="0"/>
          <w:numId w:val="5"/>
        </w:numPr>
      </w:pPr>
      <w:r w:rsidRPr="00590E91">
        <w:t>Procedimiento de envío de muestras:</w:t>
      </w:r>
    </w:p>
    <w:p w:rsidR="008902B2" w:rsidRPr="00590E91" w:rsidRDefault="008902B2" w:rsidP="008902B2">
      <w:pPr>
        <w:numPr>
          <w:ilvl w:val="1"/>
          <w:numId w:val="2"/>
        </w:numPr>
      </w:pPr>
      <w:r w:rsidRPr="00590E91">
        <w:t>Embalar las muestras de manera que garantice su preservación hasta su llegada al laboratorio.</w:t>
      </w:r>
    </w:p>
    <w:p w:rsidR="008902B2" w:rsidRPr="00590E91" w:rsidRDefault="008902B2" w:rsidP="008902B2">
      <w:pPr>
        <w:numPr>
          <w:ilvl w:val="1"/>
          <w:numId w:val="2"/>
        </w:numPr>
      </w:pPr>
      <w:r w:rsidRPr="00590E91">
        <w:t>Comunicarse con el laboratorio que realizará los ensayos para acordar el envío de las muestras y demás términos contractuales, conforme a las obligaciones y responsabilidades de las partes señaladas en el anexo 3 del presente instructivo.</w:t>
      </w:r>
    </w:p>
    <w:p w:rsidR="008902B2" w:rsidRPr="00590E91" w:rsidRDefault="008902B2" w:rsidP="008902B2">
      <w:pPr>
        <w:numPr>
          <w:ilvl w:val="1"/>
          <w:numId w:val="2"/>
        </w:numPr>
      </w:pPr>
      <w:r w:rsidRPr="00590E91">
        <w:t>Tomar registro fotográfico del embalaje de las muestras.</w:t>
      </w:r>
    </w:p>
    <w:p w:rsidR="008902B2" w:rsidRPr="00590E91" w:rsidRDefault="008902B2" w:rsidP="008902B2">
      <w:pPr>
        <w:numPr>
          <w:ilvl w:val="1"/>
          <w:numId w:val="2"/>
        </w:numPr>
      </w:pPr>
      <w:r w:rsidRPr="00590E91">
        <w:t>Enviar las muestras.</w:t>
      </w:r>
    </w:p>
    <w:p w:rsidR="008902B2" w:rsidRPr="00590E91" w:rsidRDefault="008902B2" w:rsidP="008902B2">
      <w:pPr>
        <w:ind w:left="1440"/>
      </w:pPr>
    </w:p>
    <w:p w:rsidR="008902B2" w:rsidRPr="00590E91" w:rsidRDefault="008902B2" w:rsidP="008902B2">
      <w:pPr>
        <w:numPr>
          <w:ilvl w:val="0"/>
          <w:numId w:val="3"/>
        </w:numPr>
      </w:pPr>
      <w:r w:rsidRPr="00590E91">
        <w:t>Según lo acordado previamente entre las partes, y lo estipulado en las obligaciones y responsabilidades señaladas en el anexo 3 del presente instructivo, los laboratorios tendrán el compromiso de recibir las muestras entregadas por las EDS.</w:t>
      </w:r>
    </w:p>
    <w:p w:rsidR="008902B2" w:rsidRPr="00590E91" w:rsidRDefault="008902B2" w:rsidP="008902B2">
      <w:pPr>
        <w:numPr>
          <w:ilvl w:val="0"/>
          <w:numId w:val="3"/>
        </w:numPr>
      </w:pPr>
      <w:r w:rsidRPr="00590E91">
        <w:t>Los laboratorios deberán realizar los ensayos fisicoquímicos a las muestras de la gasolina y combustible diésel para verificar los requisitos relativos al contenido de agua, conforme a lo estipulado en las normas ASTM D6304-16, ASTM E1064-16, ASTM D2709-16 y EN ISO 12937-00</w:t>
      </w:r>
      <w:r w:rsidRPr="00590E91">
        <w:rPr>
          <w:rStyle w:val="Refdenotaalpie"/>
        </w:rPr>
        <w:footnoteReference w:id="2"/>
      </w:r>
      <w:r w:rsidRPr="00590E91">
        <w:t>, que describen los métodos de ensayo para determinar el volumen de agua en combustibles.</w:t>
      </w:r>
    </w:p>
    <w:p w:rsidR="008902B2" w:rsidRPr="00590E91" w:rsidRDefault="008902B2" w:rsidP="008902B2">
      <w:pPr>
        <w:numPr>
          <w:ilvl w:val="0"/>
          <w:numId w:val="4"/>
        </w:numPr>
      </w:pPr>
      <w:r w:rsidRPr="00590E91">
        <w:t xml:space="preserve">Previa autorización de los investigados, los laboratorios deberán emitir y remitir copia de los resultados directamente a la SIC y a las EDS verificadas, según los lineamientos del acta de visita y el anexo técnico de la misma. </w:t>
      </w:r>
    </w:p>
    <w:p w:rsidR="008902B2" w:rsidRPr="00590E91" w:rsidRDefault="008902B2" w:rsidP="008902B2">
      <w:pPr>
        <w:numPr>
          <w:ilvl w:val="0"/>
          <w:numId w:val="4"/>
        </w:numPr>
      </w:pPr>
      <w:r w:rsidRPr="00590E91">
        <w:t>Los laboratorios deberán realizar la respectiva disposición de las muestras y devolver los frascos vacíos a la SIC.</w:t>
      </w:r>
    </w:p>
    <w:p w:rsidR="00833212" w:rsidRDefault="006116E2"/>
    <w:sectPr w:rsidR="00833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E2" w:rsidRDefault="006116E2" w:rsidP="008902B2">
      <w:r>
        <w:separator/>
      </w:r>
    </w:p>
  </w:endnote>
  <w:endnote w:type="continuationSeparator" w:id="0">
    <w:p w:rsidR="006116E2" w:rsidRDefault="006116E2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E2" w:rsidRDefault="006116E2" w:rsidP="008902B2">
      <w:r>
        <w:separator/>
      </w:r>
    </w:p>
  </w:footnote>
  <w:footnote w:type="continuationSeparator" w:id="0">
    <w:p w:rsidR="006116E2" w:rsidRDefault="006116E2" w:rsidP="008902B2">
      <w:r>
        <w:continuationSeparator/>
      </w:r>
    </w:p>
  </w:footnote>
  <w:footnote w:id="1">
    <w:p w:rsidR="008902B2" w:rsidRDefault="008902B2" w:rsidP="008902B2">
      <w:pPr>
        <w:pStyle w:val="Textonotapie"/>
      </w:pPr>
      <w:r>
        <w:rPr>
          <w:rStyle w:val="Refdenotaalpie"/>
        </w:rPr>
        <w:footnoteRef/>
      </w:r>
      <w:r>
        <w:t xml:space="preserve"> El proceso para la práctica de los ensayos de laboratorio aquí establecido se ordena según lo estipulado en el Decreto 1595 de 2015, SECCIÓN 17.</w:t>
      </w:r>
    </w:p>
  </w:footnote>
  <w:footnote w:id="2">
    <w:p w:rsidR="008902B2" w:rsidRDefault="008902B2" w:rsidP="008902B2">
      <w:pPr>
        <w:pStyle w:val="Textonotapie"/>
      </w:pPr>
      <w:r w:rsidRPr="00590E91">
        <w:rPr>
          <w:rStyle w:val="Refdenotaalpie"/>
        </w:rPr>
        <w:footnoteRef/>
      </w:r>
      <w:r w:rsidRPr="00590E91">
        <w:t xml:space="preserve"> Estipuladas en la Resolución 40103 de 2021, de </w:t>
      </w:r>
      <w:proofErr w:type="spellStart"/>
      <w:r w:rsidRPr="00590E91">
        <w:t>MinMinas</w:t>
      </w:r>
      <w:proofErr w:type="spellEnd"/>
      <w:r w:rsidRPr="00590E91">
        <w:t xml:space="preserve"> y </w:t>
      </w:r>
      <w:proofErr w:type="spellStart"/>
      <w:r w:rsidRPr="00590E91">
        <w:t>MinAmbiente</w:t>
      </w:r>
      <w:proofErr w:type="spellEnd"/>
      <w:r w:rsidRPr="00590E9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BFF"/>
    <w:multiLevelType w:val="hybridMultilevel"/>
    <w:tmpl w:val="296EAA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51D77846"/>
    <w:multiLevelType w:val="hybridMultilevel"/>
    <w:tmpl w:val="C506F72A"/>
    <w:lvl w:ilvl="0" w:tplc="8116ABCE">
      <w:start w:val="27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30DC"/>
    <w:multiLevelType w:val="hybridMultilevel"/>
    <w:tmpl w:val="4B3A5BD6"/>
    <w:lvl w:ilvl="0" w:tplc="8116ABCE">
      <w:start w:val="27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41779"/>
    <w:multiLevelType w:val="hybridMultilevel"/>
    <w:tmpl w:val="8A58F2C8"/>
    <w:lvl w:ilvl="0" w:tplc="8116ABCE">
      <w:start w:val="27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B2"/>
    <w:rsid w:val="002F1C71"/>
    <w:rsid w:val="006116E2"/>
    <w:rsid w:val="00795EA0"/>
    <w:rsid w:val="008902B2"/>
    <w:rsid w:val="008B382F"/>
    <w:rsid w:val="009F50BE"/>
    <w:rsid w:val="00DF467A"/>
    <w:rsid w:val="00E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B2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8902B2"/>
    <w:pPr>
      <w:keepNext/>
      <w:keepLines/>
      <w:numPr>
        <w:numId w:val="1"/>
      </w:numPr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8902B2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8902B2"/>
    <w:pPr>
      <w:keepNext/>
      <w:keepLines/>
      <w:numPr>
        <w:ilvl w:val="2"/>
        <w:numId w:val="1"/>
      </w:numPr>
      <w:ind w:left="567" w:hanging="567"/>
      <w:outlineLvl w:val="2"/>
    </w:pPr>
    <w:rPr>
      <w:rFonts w:eastAsia="Times New Roman"/>
      <w:bCs/>
      <w:color w:val="000000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8902B2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8902B2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8902B2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8902B2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8902B2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8902B2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02B2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8902B2"/>
    <w:rPr>
      <w:rFonts w:ascii="Arial" w:eastAsia="Times New Roman" w:hAnsi="Arial" w:cs="Times New Roman"/>
      <w:b/>
      <w:bCs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8902B2"/>
    <w:rPr>
      <w:rFonts w:ascii="Arial" w:eastAsia="Times New Roman" w:hAnsi="Arial" w:cs="Times New Roman"/>
      <w:bCs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8902B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rsid w:val="008902B2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rsid w:val="008902B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rsid w:val="008902B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rsid w:val="008902B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8902B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02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2B2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890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B2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8902B2"/>
    <w:pPr>
      <w:keepNext/>
      <w:keepLines/>
      <w:numPr>
        <w:numId w:val="1"/>
      </w:numPr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8902B2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8902B2"/>
    <w:pPr>
      <w:keepNext/>
      <w:keepLines/>
      <w:numPr>
        <w:ilvl w:val="2"/>
        <w:numId w:val="1"/>
      </w:numPr>
      <w:ind w:left="567" w:hanging="567"/>
      <w:outlineLvl w:val="2"/>
    </w:pPr>
    <w:rPr>
      <w:rFonts w:eastAsia="Times New Roman"/>
      <w:bCs/>
      <w:color w:val="000000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8902B2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8902B2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8902B2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8902B2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8902B2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8902B2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02B2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8902B2"/>
    <w:rPr>
      <w:rFonts w:ascii="Arial" w:eastAsia="Times New Roman" w:hAnsi="Arial" w:cs="Times New Roman"/>
      <w:b/>
      <w:bCs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8902B2"/>
    <w:rPr>
      <w:rFonts w:ascii="Arial" w:eastAsia="Times New Roman" w:hAnsi="Arial" w:cs="Times New Roman"/>
      <w:bCs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8902B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rsid w:val="008902B2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rsid w:val="008902B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rsid w:val="008902B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rsid w:val="008902B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8902B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02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2B2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890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Mayerly Arias Guzman</dc:creator>
  <cp:lastModifiedBy>Jessica Mayerly Arias Guzman</cp:lastModifiedBy>
  <cp:revision>1</cp:revision>
  <dcterms:created xsi:type="dcterms:W3CDTF">2021-07-13T21:42:00Z</dcterms:created>
  <dcterms:modified xsi:type="dcterms:W3CDTF">2021-07-13T21:42:00Z</dcterms:modified>
</cp:coreProperties>
</file>